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5F7F5" w14:textId="77777777" w:rsidR="001A2D0D" w:rsidRPr="001A2D0D" w:rsidRDefault="001A2D0D" w:rsidP="001A2D0D">
      <w:pPr>
        <w:widowControl w:val="0"/>
        <w:spacing w:after="0" w:line="240" w:lineRule="auto"/>
        <w:ind w:left="4207" w:right="42"/>
        <w:jc w:val="right"/>
        <w:rPr>
          <w:rFonts w:ascii="Times New Roman" w:eastAsia="Times New Roman" w:hAnsi="Times New Roman" w:cs="Times New Roman"/>
          <w:i/>
          <w:spacing w:val="23"/>
          <w:kern w:val="0"/>
          <w:u w:val="single"/>
          <w:lang w:eastAsia="x-none"/>
          <w14:ligatures w14:val="none"/>
        </w:rPr>
      </w:pPr>
      <w:r w:rsidRPr="001A2D0D">
        <w:rPr>
          <w:rFonts w:ascii="Times New Roman" w:eastAsia="Times New Roman" w:hAnsi="Times New Roman" w:cs="Times New Roman"/>
          <w:i/>
          <w:spacing w:val="-6"/>
          <w:kern w:val="0"/>
          <w:u w:val="single"/>
          <w:lang w:eastAsia="x-none"/>
          <w14:ligatures w14:val="none"/>
        </w:rPr>
        <w:t>Anexa</w:t>
      </w:r>
      <w:r w:rsidRPr="001A2D0D">
        <w:rPr>
          <w:rFonts w:ascii="Times New Roman" w:eastAsia="Times New Roman" w:hAnsi="Times New Roman" w:cs="Times New Roman"/>
          <w:i/>
          <w:spacing w:val="-15"/>
          <w:kern w:val="0"/>
          <w:u w:val="single"/>
          <w:lang w:eastAsia="x-none"/>
          <w14:ligatures w14:val="none"/>
        </w:rPr>
        <w:t xml:space="preserve"> </w:t>
      </w:r>
      <w:r w:rsidRPr="001A2D0D">
        <w:rPr>
          <w:rFonts w:ascii="Times New Roman" w:eastAsia="Times New Roman" w:hAnsi="Times New Roman" w:cs="Times New Roman"/>
          <w:i/>
          <w:spacing w:val="-6"/>
          <w:kern w:val="0"/>
          <w:u w:val="single"/>
          <w:lang w:eastAsia="x-none"/>
          <w14:ligatures w14:val="none"/>
        </w:rPr>
        <w:t>nr. 2</w:t>
      </w:r>
    </w:p>
    <w:p w14:paraId="33D62674" w14:textId="77777777" w:rsidR="001A2D0D" w:rsidRPr="001A2D0D" w:rsidRDefault="001A2D0D" w:rsidP="001A2D0D">
      <w:pPr>
        <w:widowControl w:val="0"/>
        <w:spacing w:before="57" w:after="0" w:line="320" w:lineRule="exact"/>
        <w:ind w:left="4678" w:right="42"/>
        <w:jc w:val="right"/>
        <w:rPr>
          <w:rFonts w:ascii="Times New Roman" w:eastAsia="Times New Roman" w:hAnsi="Times New Roman" w:cs="Times New Roman"/>
          <w:i/>
          <w:spacing w:val="1"/>
          <w:kern w:val="0"/>
          <w:lang w:eastAsia="x-none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la </w:t>
      </w:r>
      <w:r w:rsidRPr="001A2D0D">
        <w:rPr>
          <w:rFonts w:ascii="Times New Roman" w:eastAsia="Times New Roman" w:hAnsi="Times New Roman" w:cs="Times New Roman"/>
          <w:i/>
          <w:spacing w:val="-1"/>
          <w:kern w:val="0"/>
          <w:lang w:eastAsia="x-none"/>
          <w14:ligatures w14:val="none"/>
        </w:rPr>
        <w:t>Regulamentul</w:t>
      </w:r>
      <w:r w:rsidRPr="001A2D0D">
        <w:rPr>
          <w:rFonts w:ascii="Times New Roman" w:eastAsia="Times New Roman" w:hAnsi="Times New Roman" w:cs="Times New Roman"/>
          <w:i/>
          <w:kern w:val="0"/>
          <w:lang w:eastAsia="x-none"/>
          <w14:ligatures w14:val="none"/>
        </w:rPr>
        <w:t xml:space="preserve"> de </w:t>
      </w:r>
      <w:r w:rsidRPr="001A2D0D">
        <w:rPr>
          <w:rFonts w:ascii="Times New Roman" w:eastAsia="Times New Roman" w:hAnsi="Times New Roman" w:cs="Times New Roman"/>
          <w:i/>
          <w:spacing w:val="-1"/>
          <w:kern w:val="0"/>
          <w:lang w:eastAsia="x-none"/>
          <w14:ligatures w14:val="none"/>
        </w:rPr>
        <w:t>atestare</w:t>
      </w:r>
      <w:r w:rsidRPr="001A2D0D">
        <w:rPr>
          <w:rFonts w:ascii="Times New Roman" w:eastAsia="Times New Roman" w:hAnsi="Times New Roman" w:cs="Times New Roman"/>
          <w:i/>
          <w:kern w:val="0"/>
          <w:lang w:eastAsia="x-none"/>
          <w14:ligatures w14:val="none"/>
        </w:rPr>
        <w:t xml:space="preserve"> a </w:t>
      </w:r>
      <w:r w:rsidRPr="001A2D0D">
        <w:rPr>
          <w:rFonts w:ascii="Times New Roman" w:eastAsia="Times New Roman" w:hAnsi="Times New Roman" w:cs="Times New Roman"/>
          <w:i/>
          <w:spacing w:val="-1"/>
          <w:kern w:val="0"/>
          <w:lang w:eastAsia="x-none"/>
          <w14:ligatures w14:val="none"/>
        </w:rPr>
        <w:t>cadrelor</w:t>
      </w:r>
      <w:r w:rsidRPr="001A2D0D">
        <w:rPr>
          <w:rFonts w:ascii="Times New Roman" w:eastAsia="Times New Roman" w:hAnsi="Times New Roman" w:cs="Times New Roman"/>
          <w:i/>
          <w:kern w:val="0"/>
          <w:lang w:eastAsia="x-none"/>
          <w14:ligatures w14:val="none"/>
        </w:rPr>
        <w:t xml:space="preserve"> </w:t>
      </w:r>
      <w:r w:rsidRPr="001A2D0D">
        <w:rPr>
          <w:rFonts w:ascii="Times New Roman" w:eastAsia="Times New Roman" w:hAnsi="Times New Roman" w:cs="Times New Roman"/>
          <w:i/>
          <w:spacing w:val="-1"/>
          <w:kern w:val="0"/>
          <w:lang w:eastAsia="x-none"/>
          <w14:ligatures w14:val="none"/>
        </w:rPr>
        <w:t>didactice</w:t>
      </w:r>
      <w:r w:rsidRPr="001A2D0D">
        <w:rPr>
          <w:rFonts w:ascii="Times New Roman" w:eastAsia="Times New Roman" w:hAnsi="Times New Roman" w:cs="Times New Roman"/>
          <w:i/>
          <w:kern w:val="0"/>
          <w:lang w:eastAsia="x-none"/>
          <w14:ligatures w14:val="none"/>
        </w:rPr>
        <w:t xml:space="preserve"> </w:t>
      </w:r>
      <w:r w:rsidRPr="001A2D0D">
        <w:rPr>
          <w:rFonts w:ascii="Times New Roman" w:eastAsia="Times New Roman" w:hAnsi="Times New Roman" w:cs="Times New Roman"/>
          <w:i/>
          <w:spacing w:val="-1"/>
          <w:kern w:val="0"/>
          <w:lang w:eastAsia="x-none"/>
          <w14:ligatures w14:val="none"/>
        </w:rPr>
        <w:t>din</w:t>
      </w:r>
      <w:r w:rsidRPr="001A2D0D">
        <w:rPr>
          <w:rFonts w:ascii="Times New Roman" w:eastAsia="Times New Roman" w:hAnsi="Times New Roman" w:cs="Times New Roman"/>
          <w:i/>
          <w:spacing w:val="1"/>
          <w:kern w:val="0"/>
          <w:lang w:eastAsia="x-none"/>
          <w14:ligatures w14:val="none"/>
        </w:rPr>
        <w:t xml:space="preserve"> </w:t>
      </w:r>
      <w:r w:rsidRPr="001A2D0D">
        <w:rPr>
          <w:rFonts w:ascii="Times New Roman" w:eastAsia="Times New Roman" w:hAnsi="Times New Roman" w:cs="Times New Roman"/>
          <w:i/>
          <w:spacing w:val="-1"/>
          <w:kern w:val="0"/>
          <w:lang w:eastAsia="x-none"/>
          <w14:ligatures w14:val="none"/>
        </w:rPr>
        <w:t>învățământul</w:t>
      </w:r>
      <w:r w:rsidRPr="001A2D0D">
        <w:rPr>
          <w:rFonts w:ascii="Times New Roman" w:eastAsia="Times New Roman" w:hAnsi="Times New Roman" w:cs="Times New Roman"/>
          <w:i/>
          <w:spacing w:val="1"/>
          <w:kern w:val="0"/>
          <w:lang w:eastAsia="x-none"/>
          <w14:ligatures w14:val="none"/>
        </w:rPr>
        <w:t xml:space="preserve"> general, </w:t>
      </w:r>
    </w:p>
    <w:p w14:paraId="398E0FAD" w14:textId="77777777" w:rsidR="001A2D0D" w:rsidRPr="001A2D0D" w:rsidRDefault="001A2D0D" w:rsidP="001A2D0D">
      <w:pPr>
        <w:widowControl w:val="0"/>
        <w:spacing w:before="57" w:after="0" w:line="320" w:lineRule="exact"/>
        <w:ind w:left="4678" w:right="42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x-none"/>
          <w14:ligatures w14:val="none"/>
        </w:rPr>
      </w:pPr>
      <w:r w:rsidRPr="001A2D0D">
        <w:rPr>
          <w:rFonts w:ascii="Times New Roman" w:eastAsia="Times New Roman" w:hAnsi="Times New Roman" w:cs="Times New Roman"/>
          <w:i/>
          <w:spacing w:val="1"/>
          <w:kern w:val="0"/>
          <w:lang w:eastAsia="x-none"/>
          <w14:ligatures w14:val="none"/>
        </w:rPr>
        <w:t>profesional tehnic și din cadrul structurilor  de asistență psihopedagogică</w:t>
      </w:r>
    </w:p>
    <w:p w14:paraId="19FC2A08" w14:textId="77777777" w:rsidR="001A2D0D" w:rsidRPr="001A2D0D" w:rsidRDefault="001A2D0D" w:rsidP="001A2D0D">
      <w:pPr>
        <w:tabs>
          <w:tab w:val="left" w:pos="1410"/>
        </w:tabs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E521A3" w14:textId="77777777" w:rsidR="001A2D0D" w:rsidRPr="001A2D0D" w:rsidRDefault="001A2D0D" w:rsidP="001A2D0D">
      <w:pPr>
        <w:tabs>
          <w:tab w:val="left" w:pos="1410"/>
        </w:tabs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1A2D0D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Confirmare</w:t>
      </w:r>
    </w:p>
    <w:p w14:paraId="664854E9" w14:textId="77777777" w:rsidR="001A2D0D" w:rsidRPr="001A2D0D" w:rsidRDefault="001A2D0D" w:rsidP="001A2D0D">
      <w:pPr>
        <w:tabs>
          <w:tab w:val="left" w:pos="1410"/>
        </w:tabs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 prezenta  OLSDÎ/ CRAP administrația instituției de învățământ profesional tehnic  _________________, confirmă rezultatele CD  (Nume, prenume, funcție, instituție), prezentate în tabelul anexat și solicită Consiliului Republican de Atestare includerea dumnealui/ei în listele de atestare, cu statut de excepție, pentru conferirea gradului didactic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941"/>
        <w:gridCol w:w="1922"/>
        <w:gridCol w:w="2042"/>
        <w:gridCol w:w="2599"/>
        <w:gridCol w:w="2668"/>
        <w:gridCol w:w="2543"/>
      </w:tblGrid>
      <w:tr w:rsidR="001A2D0D" w:rsidRPr="001A2D0D" w14:paraId="1A2CC6DE" w14:textId="77777777" w:rsidTr="000622A3">
        <w:tc>
          <w:tcPr>
            <w:tcW w:w="850" w:type="dxa"/>
          </w:tcPr>
          <w:p w14:paraId="7FEE61A8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079" w:type="dxa"/>
          </w:tcPr>
          <w:p w14:paraId="77256343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Clasa/ elevul</w:t>
            </w:r>
          </w:p>
        </w:tc>
        <w:tc>
          <w:tcPr>
            <w:tcW w:w="1978" w:type="dxa"/>
          </w:tcPr>
          <w:p w14:paraId="705DFDA5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Rezultatele evaluării inițiale  (anul anterior atestării)</w:t>
            </w:r>
          </w:p>
        </w:tc>
        <w:tc>
          <w:tcPr>
            <w:tcW w:w="2118" w:type="dxa"/>
          </w:tcPr>
          <w:p w14:paraId="60D889F7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Rezultatele evaluării finale externe (anul anterior atestării)</w:t>
            </w:r>
          </w:p>
        </w:tc>
        <w:tc>
          <w:tcPr>
            <w:tcW w:w="2684" w:type="dxa"/>
          </w:tcPr>
          <w:p w14:paraId="6E31BFA4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Discipoli performanți, colective premiate la concursurile academice și </w:t>
            </w:r>
            <w:proofErr w:type="spellStart"/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extracurriculare</w:t>
            </w:r>
            <w:proofErr w:type="spellEnd"/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conexe disciplinei / nivel raional/ municipal/</w:t>
            </w:r>
          </w:p>
        </w:tc>
        <w:tc>
          <w:tcPr>
            <w:tcW w:w="2765" w:type="dxa"/>
          </w:tcPr>
          <w:p w14:paraId="0591DA89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Discipoli performanți, colective premiate la concursurile academice și </w:t>
            </w:r>
            <w:proofErr w:type="spellStart"/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extracurriculare</w:t>
            </w:r>
            <w:proofErr w:type="spellEnd"/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conexe disciplinei / nivel republican/ internațional/ </w:t>
            </w:r>
          </w:p>
        </w:tc>
        <w:tc>
          <w:tcPr>
            <w:tcW w:w="2693" w:type="dxa"/>
          </w:tcPr>
          <w:p w14:paraId="4779793C" w14:textId="77777777" w:rsidR="001A2D0D" w:rsidRPr="001A2D0D" w:rsidRDefault="001A2D0D" w:rsidP="001A2D0D">
            <w:pPr>
              <w:tabs>
                <w:tab w:val="left" w:pos="1593"/>
              </w:tabs>
              <w:ind w:left="175" w:right="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Nivelul de implicare a cadrului didactic în procesul de dezvoltare a colectivului didactic, a comunității, a sistemului educațional</w:t>
            </w:r>
          </w:p>
        </w:tc>
      </w:tr>
      <w:tr w:rsidR="001A2D0D" w:rsidRPr="001A2D0D" w14:paraId="3E9AE081" w14:textId="77777777" w:rsidTr="000622A3">
        <w:tc>
          <w:tcPr>
            <w:tcW w:w="850" w:type="dxa"/>
          </w:tcPr>
          <w:p w14:paraId="42D604D8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079" w:type="dxa"/>
          </w:tcPr>
          <w:p w14:paraId="2784B646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14:paraId="2951732C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18" w:type="dxa"/>
          </w:tcPr>
          <w:p w14:paraId="34BC2D5C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</w:tcPr>
          <w:p w14:paraId="3224FC1D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5" w:type="dxa"/>
          </w:tcPr>
          <w:p w14:paraId="4FE8A845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2B8C40B3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2D0D" w:rsidRPr="001A2D0D" w14:paraId="0CA2EF67" w14:textId="77777777" w:rsidTr="000622A3">
        <w:tc>
          <w:tcPr>
            <w:tcW w:w="850" w:type="dxa"/>
          </w:tcPr>
          <w:p w14:paraId="56A387A8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2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079" w:type="dxa"/>
          </w:tcPr>
          <w:p w14:paraId="5A982D38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14:paraId="1B0B9A7B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18" w:type="dxa"/>
          </w:tcPr>
          <w:p w14:paraId="2732320F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</w:tcPr>
          <w:p w14:paraId="4BB726F7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5" w:type="dxa"/>
          </w:tcPr>
          <w:p w14:paraId="4C5EB070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67A3A94D" w14:textId="77777777" w:rsidR="001A2D0D" w:rsidRPr="001A2D0D" w:rsidRDefault="001A2D0D" w:rsidP="001A2D0D">
            <w:pPr>
              <w:tabs>
                <w:tab w:val="left" w:pos="1410"/>
              </w:tabs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1C702A1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Notă 1: pentru elevii cu CES și cu dificultăți de învățare, precum și pentru clase  se vor completa doar primele patru verticale din tabel.</w:t>
      </w:r>
    </w:p>
    <w:p w14:paraId="2ABCCDE1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Notă 2: pentru elevii/ clasele/ colectivele performante se vor completa verticalele 1,2,5,6.</w:t>
      </w:r>
    </w:p>
    <w:p w14:paraId="28330017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Notă 3: verticala 7 se completează în baza descriptorilor, cu dovezile respective:</w:t>
      </w:r>
    </w:p>
    <w:p w14:paraId="4797338B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a) CD (cadrul didactic) aplică și diseminează  experiențele eficiente de la stagiile de formare;</w:t>
      </w:r>
    </w:p>
    <w:p w14:paraId="0EA13663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b) CD este formator local;</w:t>
      </w:r>
    </w:p>
    <w:p w14:paraId="59B0341A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c) CD desfășoară activitate de mentorat;</w:t>
      </w:r>
    </w:p>
    <w:p w14:paraId="57CBB5DE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d) CD este formator național;</w:t>
      </w:r>
    </w:p>
    <w:p w14:paraId="3D0CD91E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e) CD este inițiator/ parte componentă a parteneriatelor educaționale, sociale la nivel raional/ municipal, național;</w:t>
      </w:r>
    </w:p>
    <w:p w14:paraId="30F23B13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 xml:space="preserve">f) CD desfășoară activitate metodică, științifică recunoscută în domeniu; </w:t>
      </w:r>
    </w:p>
    <w:p w14:paraId="57D12650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g) CD este autor/ coautor de manual, acte reglatorii ale disciplinei, acte normative ale sistemului educațional etc.,</w:t>
      </w:r>
    </w:p>
    <w:p w14:paraId="0DB79FCF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>(în funcție de performanțele profesionale).</w:t>
      </w:r>
    </w:p>
    <w:p w14:paraId="587A8C62" w14:textId="77777777" w:rsidR="001A2D0D" w:rsidRPr="001A2D0D" w:rsidRDefault="001A2D0D" w:rsidP="001A2D0D">
      <w:pPr>
        <w:tabs>
          <w:tab w:val="left" w:pos="1410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ED82CE" w14:textId="706870AD" w:rsidR="007C5A98" w:rsidRPr="001A2D0D" w:rsidRDefault="001A2D0D" w:rsidP="001A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D0D">
        <w:rPr>
          <w:rFonts w:ascii="Times New Roman" w:eastAsia="Times New Roman" w:hAnsi="Times New Roman" w:cs="Times New Roman"/>
          <w:kern w:val="0"/>
          <w14:ligatures w14:val="none"/>
        </w:rPr>
        <w:t xml:space="preserve">Șef OLSDÎ / directorul CRAP director al instituției de învățământ profesional tehnic                    </w:t>
      </w:r>
    </w:p>
    <w:sectPr w:rsidR="007C5A98" w:rsidRPr="001A2D0D" w:rsidSect="001A2D0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47"/>
    <w:rsid w:val="001A2D0D"/>
    <w:rsid w:val="007C5A98"/>
    <w:rsid w:val="008C2A27"/>
    <w:rsid w:val="00AB5AE5"/>
    <w:rsid w:val="00BF6B47"/>
    <w:rsid w:val="00D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EEFC"/>
  <w15:chartTrackingRefBased/>
  <w15:docId w15:val="{44CA4A70-6343-440F-B411-7BC9BCB6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MD"/>
    </w:rPr>
  </w:style>
  <w:style w:type="paragraph" w:styleId="1">
    <w:name w:val="heading 1"/>
    <w:basedOn w:val="a"/>
    <w:next w:val="a"/>
    <w:link w:val="10"/>
    <w:uiPriority w:val="9"/>
    <w:qFormat/>
    <w:rsid w:val="00BF6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B4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/>
    </w:rPr>
  </w:style>
  <w:style w:type="character" w:customStyle="1" w:styleId="20">
    <w:name w:val="Заголовок 2 Знак"/>
    <w:basedOn w:val="a0"/>
    <w:link w:val="2"/>
    <w:uiPriority w:val="9"/>
    <w:semiHidden/>
    <w:rsid w:val="00BF6B4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/>
    </w:rPr>
  </w:style>
  <w:style w:type="character" w:customStyle="1" w:styleId="30">
    <w:name w:val="Заголовок 3 Знак"/>
    <w:basedOn w:val="a0"/>
    <w:link w:val="3"/>
    <w:uiPriority w:val="9"/>
    <w:semiHidden/>
    <w:rsid w:val="00BF6B47"/>
    <w:rPr>
      <w:rFonts w:eastAsiaTheme="majorEastAsia" w:cstheme="majorBidi"/>
      <w:color w:val="0F4761" w:themeColor="accent1" w:themeShade="BF"/>
      <w:sz w:val="28"/>
      <w:szCs w:val="28"/>
      <w:lang w:val="ro-MD"/>
    </w:rPr>
  </w:style>
  <w:style w:type="character" w:customStyle="1" w:styleId="40">
    <w:name w:val="Заголовок 4 Знак"/>
    <w:basedOn w:val="a0"/>
    <w:link w:val="4"/>
    <w:uiPriority w:val="9"/>
    <w:semiHidden/>
    <w:rsid w:val="00BF6B47"/>
    <w:rPr>
      <w:rFonts w:eastAsiaTheme="majorEastAsia" w:cstheme="majorBidi"/>
      <w:i/>
      <w:iCs/>
      <w:color w:val="0F4761" w:themeColor="accent1" w:themeShade="BF"/>
      <w:lang w:val="ro-MD"/>
    </w:rPr>
  </w:style>
  <w:style w:type="character" w:customStyle="1" w:styleId="50">
    <w:name w:val="Заголовок 5 Знак"/>
    <w:basedOn w:val="a0"/>
    <w:link w:val="5"/>
    <w:uiPriority w:val="9"/>
    <w:semiHidden/>
    <w:rsid w:val="00BF6B47"/>
    <w:rPr>
      <w:rFonts w:eastAsiaTheme="majorEastAsia" w:cstheme="majorBidi"/>
      <w:color w:val="0F4761" w:themeColor="accent1" w:themeShade="BF"/>
      <w:lang w:val="ro-MD"/>
    </w:rPr>
  </w:style>
  <w:style w:type="character" w:customStyle="1" w:styleId="60">
    <w:name w:val="Заголовок 6 Знак"/>
    <w:basedOn w:val="a0"/>
    <w:link w:val="6"/>
    <w:uiPriority w:val="9"/>
    <w:semiHidden/>
    <w:rsid w:val="00BF6B47"/>
    <w:rPr>
      <w:rFonts w:eastAsiaTheme="majorEastAsia" w:cstheme="majorBidi"/>
      <w:i/>
      <w:iCs/>
      <w:color w:val="595959" w:themeColor="text1" w:themeTint="A6"/>
      <w:lang w:val="ro-MD"/>
    </w:rPr>
  </w:style>
  <w:style w:type="character" w:customStyle="1" w:styleId="70">
    <w:name w:val="Заголовок 7 Знак"/>
    <w:basedOn w:val="a0"/>
    <w:link w:val="7"/>
    <w:uiPriority w:val="9"/>
    <w:semiHidden/>
    <w:rsid w:val="00BF6B47"/>
    <w:rPr>
      <w:rFonts w:eastAsiaTheme="majorEastAsia" w:cstheme="majorBidi"/>
      <w:color w:val="595959" w:themeColor="text1" w:themeTint="A6"/>
      <w:lang w:val="ro-MD"/>
    </w:rPr>
  </w:style>
  <w:style w:type="character" w:customStyle="1" w:styleId="80">
    <w:name w:val="Заголовок 8 Знак"/>
    <w:basedOn w:val="a0"/>
    <w:link w:val="8"/>
    <w:uiPriority w:val="9"/>
    <w:semiHidden/>
    <w:rsid w:val="00BF6B47"/>
    <w:rPr>
      <w:rFonts w:eastAsiaTheme="majorEastAsia" w:cstheme="majorBidi"/>
      <w:i/>
      <w:iCs/>
      <w:color w:val="272727" w:themeColor="text1" w:themeTint="D8"/>
      <w:lang w:val="ro-MD"/>
    </w:rPr>
  </w:style>
  <w:style w:type="character" w:customStyle="1" w:styleId="90">
    <w:name w:val="Заголовок 9 Знак"/>
    <w:basedOn w:val="a0"/>
    <w:link w:val="9"/>
    <w:uiPriority w:val="9"/>
    <w:semiHidden/>
    <w:rsid w:val="00BF6B47"/>
    <w:rPr>
      <w:rFonts w:eastAsiaTheme="majorEastAsia" w:cstheme="majorBidi"/>
      <w:color w:val="272727" w:themeColor="text1" w:themeTint="D8"/>
      <w:lang w:val="ro-MD"/>
    </w:rPr>
  </w:style>
  <w:style w:type="paragraph" w:styleId="a3">
    <w:name w:val="Title"/>
    <w:basedOn w:val="a"/>
    <w:next w:val="a"/>
    <w:link w:val="a4"/>
    <w:uiPriority w:val="10"/>
    <w:qFormat/>
    <w:rsid w:val="00BF6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B47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paragraph" w:styleId="a5">
    <w:name w:val="Subtitle"/>
    <w:basedOn w:val="a"/>
    <w:next w:val="a"/>
    <w:link w:val="a6"/>
    <w:uiPriority w:val="11"/>
    <w:qFormat/>
    <w:rsid w:val="00BF6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B47"/>
    <w:rPr>
      <w:rFonts w:eastAsiaTheme="majorEastAsia" w:cstheme="majorBidi"/>
      <w:color w:val="595959" w:themeColor="text1" w:themeTint="A6"/>
      <w:spacing w:val="15"/>
      <w:sz w:val="28"/>
      <w:szCs w:val="28"/>
      <w:lang w:val="ro-MD"/>
    </w:rPr>
  </w:style>
  <w:style w:type="paragraph" w:styleId="21">
    <w:name w:val="Quote"/>
    <w:basedOn w:val="a"/>
    <w:next w:val="a"/>
    <w:link w:val="22"/>
    <w:uiPriority w:val="29"/>
    <w:qFormat/>
    <w:rsid w:val="00BF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B47"/>
    <w:rPr>
      <w:i/>
      <w:iCs/>
      <w:color w:val="404040" w:themeColor="text1" w:themeTint="BF"/>
      <w:lang w:val="ro-MD"/>
    </w:rPr>
  </w:style>
  <w:style w:type="paragraph" w:styleId="a7">
    <w:name w:val="List Paragraph"/>
    <w:basedOn w:val="a"/>
    <w:uiPriority w:val="34"/>
    <w:qFormat/>
    <w:rsid w:val="00BF6B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B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B47"/>
    <w:rPr>
      <w:i/>
      <w:iCs/>
      <w:color w:val="0F4761" w:themeColor="accent1" w:themeShade="BF"/>
      <w:lang w:val="ro-MD"/>
    </w:rPr>
  </w:style>
  <w:style w:type="character" w:styleId="ab">
    <w:name w:val="Intense Reference"/>
    <w:basedOn w:val="a0"/>
    <w:uiPriority w:val="32"/>
    <w:qFormat/>
    <w:rsid w:val="00BF6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Elena Moiseenco</cp:lastModifiedBy>
  <cp:revision>2</cp:revision>
  <dcterms:created xsi:type="dcterms:W3CDTF">2024-10-18T11:00:00Z</dcterms:created>
  <dcterms:modified xsi:type="dcterms:W3CDTF">2024-10-18T11:01:00Z</dcterms:modified>
</cp:coreProperties>
</file>